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B0" w:rsidRPr="008729F7" w:rsidRDefault="00A8690D" w:rsidP="00C07BB0">
      <w:pPr>
        <w:jc w:val="center"/>
        <w:rPr>
          <w:rFonts w:ascii="Britannic Bold" w:hAnsi="Britannic Bold"/>
          <w:sz w:val="36"/>
          <w:szCs w:val="36"/>
        </w:rPr>
      </w:pPr>
      <w:r w:rsidRPr="004558E1">
        <w:rPr>
          <w:rFonts w:ascii="Britannic Bold" w:hAnsi="Britannic Bold"/>
          <w:color w:val="FF0000"/>
          <w:sz w:val="36"/>
          <w:szCs w:val="36"/>
        </w:rPr>
        <w:t>Teacher Led</w:t>
      </w:r>
      <w:r>
        <w:rPr>
          <w:rFonts w:ascii="Britannic Bold" w:hAnsi="Britannic Bold"/>
          <w:sz w:val="36"/>
          <w:szCs w:val="36"/>
        </w:rPr>
        <w:t xml:space="preserve"> </w:t>
      </w:r>
      <w:r w:rsidR="00C07BB0" w:rsidRPr="008729F7">
        <w:rPr>
          <w:rFonts w:ascii="Britannic Bold" w:hAnsi="Britannic Bold"/>
          <w:sz w:val="36"/>
          <w:szCs w:val="36"/>
        </w:rPr>
        <w:t>CFIP Follow-Up</w:t>
      </w:r>
    </w:p>
    <w:p w:rsidR="00C07BB0" w:rsidRDefault="00A8690D" w:rsidP="00C07BB0">
      <w:pPr>
        <w:jc w:val="center"/>
        <w:rPr>
          <w:rFonts w:ascii="Britannic Bold" w:hAnsi="Britannic Bold"/>
          <w:i/>
          <w:sz w:val="36"/>
          <w:szCs w:val="36"/>
        </w:rPr>
      </w:pPr>
      <w:r>
        <w:rPr>
          <w:rFonts w:ascii="Britannic Bold" w:hAnsi="Britannic Bold"/>
          <w:i/>
          <w:sz w:val="36"/>
          <w:szCs w:val="36"/>
        </w:rPr>
        <w:t>September 26</w:t>
      </w:r>
      <w:r w:rsidR="00C07BB0" w:rsidRPr="008729F7">
        <w:rPr>
          <w:rFonts w:ascii="Britannic Bold" w:hAnsi="Britannic Bold"/>
          <w:i/>
          <w:sz w:val="36"/>
          <w:szCs w:val="36"/>
        </w:rPr>
        <w:t>, 2011</w:t>
      </w:r>
    </w:p>
    <w:tbl>
      <w:tblPr>
        <w:tblStyle w:val="TableGrid"/>
        <w:tblW w:w="0" w:type="auto"/>
        <w:tblLook w:val="01E0"/>
      </w:tblPr>
      <w:tblGrid>
        <w:gridCol w:w="11016"/>
      </w:tblGrid>
      <w:tr w:rsidR="00C07BB0" w:rsidRPr="009B4E77" w:rsidTr="00303172">
        <w:tc>
          <w:tcPr>
            <w:tcW w:w="11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6254" w:rsidRPr="00466254" w:rsidRDefault="00A8690D" w:rsidP="00466254">
            <w:pPr>
              <w:rPr>
                <w:rFonts w:ascii="Tahoma" w:hAnsi="Tahoma" w:cs="Tahoma"/>
                <w:sz w:val="20"/>
                <w:szCs w:val="20"/>
              </w:rPr>
            </w:pPr>
            <w:r w:rsidRPr="004558E1">
              <w:rPr>
                <w:rFonts w:ascii="Georgia" w:hAnsi="Georgia"/>
                <w:b/>
                <w:color w:val="0000FF"/>
                <w:sz w:val="28"/>
                <w:szCs w:val="28"/>
              </w:rPr>
              <w:t>Math Practices Follow Up</w:t>
            </w:r>
            <w:r w:rsidR="00C07BB0" w:rsidRPr="004558E1">
              <w:rPr>
                <w:rFonts w:ascii="Georgia" w:hAnsi="Georgia"/>
                <w:b/>
                <w:color w:val="0000FF"/>
                <w:sz w:val="28"/>
                <w:szCs w:val="28"/>
              </w:rPr>
              <w:t xml:space="preserve">: </w:t>
            </w:r>
            <w:r w:rsidRPr="004558E1">
              <w:rPr>
                <w:rFonts w:ascii="Georgia" w:hAnsi="Georgia"/>
                <w:sz w:val="28"/>
                <w:szCs w:val="28"/>
              </w:rPr>
              <w:t xml:space="preserve">Each team participated in great discussions about the Math Practice reflections from Google docs using the Artful Thinking Routine~ Connect, Extend, Challenge. The goal is to continue </w:t>
            </w:r>
            <w:r w:rsidR="00803A83">
              <w:rPr>
                <w:rFonts w:ascii="Georgia" w:hAnsi="Georgia"/>
                <w:sz w:val="28"/>
                <w:szCs w:val="28"/>
              </w:rPr>
              <w:t>reflecting</w:t>
            </w:r>
            <w:r w:rsidRPr="004558E1">
              <w:rPr>
                <w:rFonts w:ascii="Georgia" w:hAnsi="Georgia"/>
                <w:sz w:val="28"/>
                <w:szCs w:val="28"/>
              </w:rPr>
              <w:t xml:space="preserve"> on our math lessons so that we can design instruction where students engage in meaningful work with the practices. </w:t>
            </w:r>
            <w:r w:rsidR="00466254">
              <w:rPr>
                <w:rFonts w:ascii="Georgia" w:hAnsi="Georgia"/>
                <w:sz w:val="28"/>
                <w:szCs w:val="28"/>
              </w:rPr>
              <w:t xml:space="preserve">                                            </w:t>
            </w:r>
            <w:hyperlink r:id="rId5" w:history="1">
              <w:r w:rsidR="00466254" w:rsidRPr="00466254">
                <w:rPr>
                  <w:rFonts w:ascii="Tahoma" w:hAnsi="Tahoma" w:cs="Tahoma"/>
                  <w:color w:val="0000FF"/>
                  <w:sz w:val="20"/>
                  <w:u w:val="single"/>
                </w:rPr>
                <w:t>http://www.pz.harvard.edu/at/</w:t>
              </w:r>
            </w:hyperlink>
            <w:r w:rsidR="00466254" w:rsidRPr="00466254">
              <w:rPr>
                <w:rFonts w:ascii="Tahoma" w:hAnsi="Tahoma" w:cs="Tahoma"/>
                <w:sz w:val="20"/>
                <w:szCs w:val="20"/>
              </w:rPr>
              <w:t>  --  Artful Thinking Routines</w:t>
            </w:r>
          </w:p>
          <w:p w:rsidR="00622D35" w:rsidRPr="004558E1" w:rsidRDefault="00466254" w:rsidP="00466254">
            <w:pPr>
              <w:rPr>
                <w:rFonts w:ascii="Georgia" w:hAnsi="Georgia"/>
                <w:b/>
                <w:color w:val="0000FF"/>
                <w:sz w:val="28"/>
                <w:szCs w:val="28"/>
              </w:rPr>
            </w:pPr>
            <w:r w:rsidRPr="00466254">
              <w:rPr>
                <w:rFonts w:ascii="Tahoma" w:hAnsi="Tahoma" w:cs="Tahoma"/>
                <w:sz w:val="20"/>
                <w:szCs w:val="20"/>
              </w:rPr>
              <w:t> </w:t>
            </w:r>
            <w:hyperlink r:id="rId6" w:history="1">
              <w:r w:rsidRPr="00466254">
                <w:rPr>
                  <w:rFonts w:ascii="Tahoma" w:hAnsi="Tahoma" w:cs="Tahoma"/>
                  <w:color w:val="0000FF"/>
                  <w:sz w:val="20"/>
                  <w:u w:val="single"/>
                </w:rPr>
                <w:t>http://pzweb.harvard.edu/vt/VisibleThinking_html_files/VisibleThinking1.html</w:t>
              </w:r>
            </w:hyperlink>
            <w:r w:rsidRPr="00466254">
              <w:rPr>
                <w:rFonts w:ascii="Tahoma" w:hAnsi="Tahoma" w:cs="Tahoma"/>
                <w:sz w:val="20"/>
                <w:szCs w:val="20"/>
              </w:rPr>
              <w:t>   --  Visible Thinking Routines</w:t>
            </w:r>
          </w:p>
        </w:tc>
      </w:tr>
      <w:tr w:rsidR="00C07BB0" w:rsidRPr="009B4E77" w:rsidTr="00303172">
        <w:tc>
          <w:tcPr>
            <w:tcW w:w="11016" w:type="dxa"/>
            <w:tcBorders>
              <w:bottom w:val="single" w:sz="4" w:space="0" w:color="auto"/>
            </w:tcBorders>
          </w:tcPr>
          <w:p w:rsidR="00C07BB0" w:rsidRPr="004558E1" w:rsidRDefault="00A8690D" w:rsidP="0054587D">
            <w:pPr>
              <w:rPr>
                <w:rFonts w:ascii="Georgia" w:hAnsi="Georgia"/>
                <w:b/>
                <w:color w:val="5F497A" w:themeColor="accent4" w:themeShade="BF"/>
                <w:sz w:val="28"/>
                <w:szCs w:val="28"/>
              </w:rPr>
            </w:pPr>
            <w:r w:rsidRPr="004558E1">
              <w:rPr>
                <w:rFonts w:ascii="Georgia" w:hAnsi="Georgia"/>
                <w:b/>
                <w:color w:val="5F497A" w:themeColor="accent4" w:themeShade="BF"/>
                <w:sz w:val="28"/>
                <w:szCs w:val="28"/>
              </w:rPr>
              <w:t>Encore:</w:t>
            </w:r>
            <w:r w:rsidR="00C07BB0" w:rsidRPr="004558E1">
              <w:rPr>
                <w:rFonts w:ascii="Georgia" w:hAnsi="Georgia"/>
                <w:b/>
                <w:color w:val="5F497A" w:themeColor="accent4" w:themeShade="BF"/>
                <w:sz w:val="28"/>
                <w:szCs w:val="28"/>
              </w:rPr>
              <w:t xml:space="preserve">  </w:t>
            </w:r>
            <w:r w:rsidRPr="004558E1">
              <w:rPr>
                <w:rFonts w:ascii="Georgia" w:hAnsi="Georgia"/>
                <w:sz w:val="28"/>
                <w:szCs w:val="28"/>
              </w:rPr>
              <w:t xml:space="preserve">Each teacher shared their </w:t>
            </w:r>
            <w:proofErr w:type="spellStart"/>
            <w:r w:rsidRPr="004558E1">
              <w:rPr>
                <w:rFonts w:ascii="Georgia" w:hAnsi="Georgia"/>
                <w:sz w:val="28"/>
                <w:szCs w:val="28"/>
              </w:rPr>
              <w:t>Weebly</w:t>
            </w:r>
            <w:proofErr w:type="spellEnd"/>
            <w:r w:rsidRPr="004558E1">
              <w:rPr>
                <w:rFonts w:ascii="Georgia" w:hAnsi="Georgia"/>
                <w:sz w:val="28"/>
                <w:szCs w:val="28"/>
              </w:rPr>
              <w:t xml:space="preserve"> portfolios, asking for feedback on how to make it more manageable</w:t>
            </w:r>
            <w:r w:rsidR="0054587D" w:rsidRPr="004558E1">
              <w:rPr>
                <w:rFonts w:ascii="Georgia" w:hAnsi="Georgia"/>
                <w:sz w:val="28"/>
                <w:szCs w:val="28"/>
              </w:rPr>
              <w:t>, yet meaningful</w:t>
            </w:r>
            <w:r w:rsidRPr="004558E1">
              <w:rPr>
                <w:rFonts w:ascii="Georgia" w:hAnsi="Georgia"/>
                <w:sz w:val="28"/>
                <w:szCs w:val="28"/>
              </w:rPr>
              <w:t xml:space="preserve">.  They are all striving to “go digital” by adding </w:t>
            </w:r>
            <w:proofErr w:type="spellStart"/>
            <w:r w:rsidRPr="004558E1">
              <w:rPr>
                <w:rFonts w:ascii="Georgia" w:hAnsi="Georgia"/>
                <w:sz w:val="28"/>
                <w:szCs w:val="28"/>
              </w:rPr>
              <w:t>pics</w:t>
            </w:r>
            <w:proofErr w:type="spellEnd"/>
            <w:r w:rsidRPr="004558E1">
              <w:rPr>
                <w:rFonts w:ascii="Georgia" w:hAnsi="Georgia"/>
                <w:sz w:val="28"/>
                <w:szCs w:val="28"/>
              </w:rPr>
              <w:t xml:space="preserve">, videos, blogs, </w:t>
            </w:r>
            <w:r w:rsidR="0054587D" w:rsidRPr="004558E1">
              <w:rPr>
                <w:rFonts w:ascii="Georgia" w:hAnsi="Georgia"/>
                <w:sz w:val="28"/>
                <w:szCs w:val="28"/>
              </w:rPr>
              <w:t xml:space="preserve">links to student pages, </w:t>
            </w:r>
            <w:r w:rsidRPr="004558E1">
              <w:rPr>
                <w:rFonts w:ascii="Georgia" w:hAnsi="Georgia"/>
                <w:sz w:val="28"/>
                <w:szCs w:val="28"/>
              </w:rPr>
              <w:t>etc.</w:t>
            </w:r>
            <w:r w:rsidR="0054587D" w:rsidRPr="004558E1">
              <w:rPr>
                <w:rFonts w:ascii="Georgia" w:hAnsi="Georgia"/>
                <w:sz w:val="28"/>
                <w:szCs w:val="28"/>
              </w:rPr>
              <w:t xml:space="preserve"> Many are also including pages for Danielson to provide evidence for each domain.  </w:t>
            </w:r>
            <w:r w:rsidR="0054587D" w:rsidRPr="004558E1">
              <w:rPr>
                <w:rFonts w:ascii="Georgia" w:hAnsi="Georgia"/>
                <w:color w:val="FF0000"/>
                <w:sz w:val="28"/>
                <w:szCs w:val="28"/>
              </w:rPr>
              <w:t>Follow-up:</w:t>
            </w:r>
            <w:r w:rsidR="0054587D" w:rsidRPr="004558E1">
              <w:rPr>
                <w:rFonts w:ascii="Georgia" w:hAnsi="Georgia"/>
                <w:sz w:val="28"/>
                <w:szCs w:val="28"/>
              </w:rPr>
              <w:t xml:space="preserve">  Setting a schedule to complete reflections and blogs on a regular basis.</w:t>
            </w:r>
          </w:p>
        </w:tc>
      </w:tr>
      <w:tr w:rsidR="00C07BB0" w:rsidRPr="009B4E77" w:rsidTr="00303172">
        <w:tc>
          <w:tcPr>
            <w:tcW w:w="11016" w:type="dxa"/>
            <w:shd w:val="clear" w:color="auto" w:fill="E0E0E0"/>
          </w:tcPr>
          <w:p w:rsidR="00C07BB0" w:rsidRPr="004558E1" w:rsidRDefault="00A8690D" w:rsidP="0054587D">
            <w:pPr>
              <w:rPr>
                <w:rFonts w:ascii="Georgia" w:hAnsi="Georgia"/>
                <w:i/>
                <w:sz w:val="28"/>
                <w:szCs w:val="28"/>
              </w:rPr>
            </w:pPr>
            <w:r w:rsidRPr="004558E1">
              <w:rPr>
                <w:rFonts w:ascii="Georgia" w:hAnsi="Georgia"/>
                <w:b/>
                <w:color w:val="008000"/>
                <w:sz w:val="28"/>
                <w:szCs w:val="28"/>
              </w:rPr>
              <w:t>Third Grade:</w:t>
            </w:r>
            <w:r w:rsidR="00116CF6" w:rsidRPr="004558E1">
              <w:rPr>
                <w:rFonts w:ascii="Georgia" w:hAnsi="Georgia"/>
                <w:b/>
                <w:color w:val="008000"/>
                <w:sz w:val="28"/>
                <w:szCs w:val="28"/>
              </w:rPr>
              <w:t xml:space="preserve">  </w:t>
            </w:r>
            <w:r w:rsidR="0054587D" w:rsidRPr="004558E1">
              <w:rPr>
                <w:rFonts w:ascii="Georgia" w:hAnsi="Georgia"/>
                <w:sz w:val="28"/>
                <w:szCs w:val="28"/>
              </w:rPr>
              <w:t xml:space="preserve">A general concern was shared for reaching the wide range of abilities in math.  The grade level plans to attempt a Math Workshop approach and also a Skills Focused Friday.  Time was spent working on mini-lessons, rotation activities, challenges, and small group work.  </w:t>
            </w:r>
            <w:r w:rsidR="0054587D" w:rsidRPr="004558E1">
              <w:rPr>
                <w:rFonts w:ascii="Georgia" w:hAnsi="Georgia"/>
                <w:color w:val="FF0000"/>
                <w:sz w:val="28"/>
                <w:szCs w:val="28"/>
              </w:rPr>
              <w:t>Follow-up:</w:t>
            </w:r>
            <w:r w:rsidR="0054587D" w:rsidRPr="004558E1">
              <w:rPr>
                <w:rFonts w:ascii="Georgia" w:hAnsi="Georgia"/>
                <w:sz w:val="28"/>
                <w:szCs w:val="28"/>
              </w:rPr>
              <w:t xml:space="preserve">  Implement math workshop ideas over the next two weeks and share implications on learning.</w:t>
            </w:r>
          </w:p>
        </w:tc>
      </w:tr>
      <w:tr w:rsidR="00C07BB0" w:rsidRPr="009B4E77" w:rsidTr="00303172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C07BB0" w:rsidRPr="004558E1" w:rsidRDefault="00A8690D" w:rsidP="00803A83">
            <w:pPr>
              <w:rPr>
                <w:rFonts w:ascii="Georgia" w:hAnsi="Georgia"/>
                <w:sz w:val="28"/>
                <w:szCs w:val="28"/>
              </w:rPr>
            </w:pPr>
            <w:r w:rsidRPr="004558E1">
              <w:rPr>
                <w:rFonts w:ascii="Georgia" w:hAnsi="Georgia"/>
                <w:b/>
                <w:color w:val="800080"/>
                <w:sz w:val="28"/>
                <w:szCs w:val="28"/>
              </w:rPr>
              <w:t>Magnet</w:t>
            </w:r>
            <w:r w:rsidR="00C07BB0" w:rsidRPr="004558E1">
              <w:rPr>
                <w:rFonts w:ascii="Georgia" w:hAnsi="Georgia"/>
                <w:b/>
                <w:color w:val="800080"/>
                <w:sz w:val="28"/>
                <w:szCs w:val="28"/>
              </w:rPr>
              <w:t xml:space="preserve">:  </w:t>
            </w:r>
            <w:r w:rsidR="0054587D" w:rsidRPr="004558E1">
              <w:rPr>
                <w:rFonts w:ascii="Georgia" w:hAnsi="Georgia"/>
                <w:sz w:val="28"/>
                <w:szCs w:val="28"/>
              </w:rPr>
              <w:t xml:space="preserve">General information was shared on their theater unit that is embedding science research and </w:t>
            </w:r>
            <w:r w:rsidR="00803A83">
              <w:rPr>
                <w:rFonts w:ascii="Georgia" w:hAnsi="Georgia"/>
                <w:sz w:val="28"/>
                <w:szCs w:val="28"/>
              </w:rPr>
              <w:t>narrative</w:t>
            </w:r>
            <w:r w:rsidR="0054587D" w:rsidRPr="004558E1">
              <w:rPr>
                <w:rFonts w:ascii="Georgia" w:hAnsi="Georgia"/>
                <w:sz w:val="28"/>
                <w:szCs w:val="28"/>
              </w:rPr>
              <w:t xml:space="preserve"> writing.  They expressed a need for a research rubric.  Time was spent diving into Common Core Frameworks to identify key elements of research.  Dave shared an idea of using a research template to facilitate the work.  It is attached and can be adapted to meet your grade level needs.  </w:t>
            </w:r>
            <w:r w:rsidR="0054587D" w:rsidRPr="004558E1">
              <w:rPr>
                <w:rFonts w:ascii="Georgia" w:hAnsi="Georgia"/>
                <w:color w:val="FF0000"/>
                <w:sz w:val="28"/>
                <w:szCs w:val="28"/>
              </w:rPr>
              <w:t>Follow-up:</w:t>
            </w:r>
            <w:r w:rsidR="0054587D" w:rsidRPr="004558E1">
              <w:rPr>
                <w:rFonts w:ascii="Georgia" w:hAnsi="Georgia"/>
                <w:sz w:val="28"/>
                <w:szCs w:val="28"/>
              </w:rPr>
              <w:t xml:space="preserve">  </w:t>
            </w:r>
            <w:r w:rsidR="00A808D3" w:rsidRPr="004558E1">
              <w:rPr>
                <w:rFonts w:ascii="Georgia" w:hAnsi="Georgia"/>
                <w:sz w:val="28"/>
                <w:szCs w:val="28"/>
              </w:rPr>
              <w:t xml:space="preserve">Bring a rubric or organizer that supports student work in this unit.  </w:t>
            </w:r>
            <w:r w:rsidR="0054587D" w:rsidRPr="004558E1">
              <w:rPr>
                <w:rFonts w:ascii="Georgia" w:hAnsi="Georgia"/>
                <w:sz w:val="28"/>
                <w:szCs w:val="28"/>
              </w:rPr>
              <w:t xml:space="preserve"> </w:t>
            </w:r>
            <w:r w:rsidR="00607CB0" w:rsidRPr="004558E1">
              <w:rPr>
                <w:rFonts w:ascii="Georgia" w:hAnsi="Georgia"/>
                <w:sz w:val="28"/>
                <w:szCs w:val="28"/>
              </w:rPr>
              <w:t xml:space="preserve">  </w:t>
            </w:r>
          </w:p>
        </w:tc>
      </w:tr>
      <w:tr w:rsidR="00C07BB0" w:rsidRPr="009B4E77" w:rsidTr="00A8690D">
        <w:tc>
          <w:tcPr>
            <w:tcW w:w="11016" w:type="dxa"/>
            <w:shd w:val="clear" w:color="auto" w:fill="D9D9D9" w:themeFill="background1" w:themeFillShade="D9"/>
          </w:tcPr>
          <w:p w:rsidR="00E173FE" w:rsidRPr="004558E1" w:rsidRDefault="00A8690D" w:rsidP="00803A83">
            <w:pPr>
              <w:rPr>
                <w:rFonts w:ascii="Georgia" w:hAnsi="Georgia"/>
                <w:b/>
                <w:color w:val="17365D" w:themeColor="text2" w:themeShade="BF"/>
                <w:sz w:val="28"/>
                <w:szCs w:val="28"/>
              </w:rPr>
            </w:pPr>
            <w:r w:rsidRPr="004558E1">
              <w:rPr>
                <w:rFonts w:ascii="Georgia" w:hAnsi="Georgia"/>
                <w:b/>
                <w:color w:val="17365D" w:themeColor="text2" w:themeShade="BF"/>
                <w:sz w:val="28"/>
                <w:szCs w:val="28"/>
              </w:rPr>
              <w:t>Second Grade</w:t>
            </w:r>
            <w:r w:rsidR="00C07BB0" w:rsidRPr="004558E1">
              <w:rPr>
                <w:rFonts w:ascii="Georgia" w:hAnsi="Georgia"/>
                <w:b/>
                <w:color w:val="17365D" w:themeColor="text2" w:themeShade="BF"/>
                <w:sz w:val="28"/>
                <w:szCs w:val="28"/>
              </w:rPr>
              <w:t xml:space="preserve">: </w:t>
            </w:r>
            <w:r w:rsidR="00A808D3" w:rsidRPr="004558E1">
              <w:rPr>
                <w:rFonts w:ascii="Georgia" w:hAnsi="Georgia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A808D3" w:rsidRPr="004558E1">
              <w:rPr>
                <w:rFonts w:ascii="Georgia" w:hAnsi="Georgia"/>
                <w:sz w:val="28"/>
                <w:szCs w:val="28"/>
              </w:rPr>
              <w:t xml:space="preserve">During the TIF PD activity of mapping out </w:t>
            </w:r>
            <w:r w:rsidR="00803A83">
              <w:rPr>
                <w:rFonts w:ascii="Georgia" w:hAnsi="Georgia"/>
                <w:sz w:val="28"/>
                <w:szCs w:val="28"/>
              </w:rPr>
              <w:t>“b</w:t>
            </w:r>
            <w:r w:rsidR="00A808D3" w:rsidRPr="004558E1">
              <w:rPr>
                <w:rFonts w:ascii="Georgia" w:hAnsi="Georgia"/>
                <w:sz w:val="28"/>
                <w:szCs w:val="28"/>
              </w:rPr>
              <w:t xml:space="preserve">ig </w:t>
            </w:r>
            <w:r w:rsidR="00803A83">
              <w:rPr>
                <w:rFonts w:ascii="Georgia" w:hAnsi="Georgia"/>
                <w:sz w:val="28"/>
                <w:szCs w:val="28"/>
              </w:rPr>
              <w:t>i</w:t>
            </w:r>
            <w:r w:rsidR="00A808D3" w:rsidRPr="004558E1">
              <w:rPr>
                <w:rFonts w:ascii="Georgia" w:hAnsi="Georgia"/>
                <w:sz w:val="28"/>
                <w:szCs w:val="28"/>
              </w:rPr>
              <w:t>deas</w:t>
            </w:r>
            <w:r w:rsidR="00803A83">
              <w:rPr>
                <w:rFonts w:ascii="Georgia" w:hAnsi="Georgia"/>
                <w:sz w:val="28"/>
                <w:szCs w:val="28"/>
              </w:rPr>
              <w:t xml:space="preserve">” </w:t>
            </w:r>
            <w:r w:rsidR="00A808D3" w:rsidRPr="004558E1">
              <w:rPr>
                <w:rFonts w:ascii="Georgia" w:hAnsi="Georgia"/>
                <w:sz w:val="28"/>
                <w:szCs w:val="28"/>
              </w:rPr>
              <w:t xml:space="preserve">across the year, the second grade team discovered the need to integrate Unit 1 concepts within the remaining units.  Time was spent looking for connections within the curriculum to make the learning meaningful for students.  </w:t>
            </w:r>
            <w:r w:rsidR="00A808D3" w:rsidRPr="004558E1">
              <w:rPr>
                <w:rFonts w:ascii="Georgia" w:hAnsi="Georgia"/>
                <w:color w:val="FF0000"/>
                <w:sz w:val="28"/>
                <w:szCs w:val="28"/>
              </w:rPr>
              <w:t>Follow-up:</w:t>
            </w:r>
            <w:r w:rsidR="00A808D3" w:rsidRPr="004558E1">
              <w:rPr>
                <w:rFonts w:ascii="Georgia" w:hAnsi="Georgia"/>
                <w:sz w:val="28"/>
                <w:szCs w:val="28"/>
              </w:rPr>
              <w:t xml:space="preserve">  Share a connection made between unit 1 and </w:t>
            </w:r>
            <w:r w:rsidR="00803A83">
              <w:rPr>
                <w:rFonts w:ascii="Georgia" w:hAnsi="Georgia"/>
                <w:sz w:val="28"/>
                <w:szCs w:val="28"/>
              </w:rPr>
              <w:t xml:space="preserve">unit </w:t>
            </w:r>
            <w:r w:rsidR="00A808D3" w:rsidRPr="004558E1">
              <w:rPr>
                <w:rFonts w:ascii="Georgia" w:hAnsi="Georgia"/>
                <w:sz w:val="28"/>
                <w:szCs w:val="28"/>
              </w:rPr>
              <w:t>2 skills.</w:t>
            </w:r>
          </w:p>
        </w:tc>
      </w:tr>
      <w:tr w:rsidR="00A8690D" w:rsidRPr="009B4E77" w:rsidTr="00A8690D">
        <w:tc>
          <w:tcPr>
            <w:tcW w:w="11016" w:type="dxa"/>
            <w:shd w:val="clear" w:color="auto" w:fill="auto"/>
          </w:tcPr>
          <w:p w:rsidR="00A8690D" w:rsidRPr="004558E1" w:rsidRDefault="00A8690D" w:rsidP="00303172">
            <w:pPr>
              <w:rPr>
                <w:rFonts w:ascii="Georgia" w:hAnsi="Georgia"/>
                <w:color w:val="17365D" w:themeColor="text2" w:themeShade="BF"/>
                <w:sz w:val="28"/>
                <w:szCs w:val="28"/>
              </w:rPr>
            </w:pPr>
            <w:r w:rsidRPr="004558E1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>Fourth and Fifth Grade:</w:t>
            </w:r>
            <w:r w:rsidR="00A808D3" w:rsidRPr="004558E1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 xml:space="preserve">  </w:t>
            </w:r>
            <w:r w:rsidR="00A808D3" w:rsidRPr="004558E1">
              <w:rPr>
                <w:rFonts w:ascii="Georgia" w:hAnsi="Georgia"/>
                <w:sz w:val="28"/>
                <w:szCs w:val="28"/>
              </w:rPr>
              <w:t>Time was spent unpacking Informative/Explanatory Writing using the Common Core Framework.  Each grade level looked at their specific grade level “big ideas” and then shared with the group.  Ideas for necessary mini-lessons were shared, as well as ways to embed technology, editing, and research into this area of writing.</w:t>
            </w:r>
            <w:r w:rsidR="00A808D3" w:rsidRPr="004558E1">
              <w:rPr>
                <w:rFonts w:ascii="Georgia" w:hAnsi="Georgia"/>
                <w:b/>
                <w:color w:val="17365D" w:themeColor="text2" w:themeShade="BF"/>
                <w:sz w:val="28"/>
                <w:szCs w:val="28"/>
              </w:rPr>
              <w:t xml:space="preserve">  </w:t>
            </w:r>
            <w:r w:rsidR="00A808D3" w:rsidRPr="004558E1">
              <w:rPr>
                <w:rFonts w:ascii="Georgia" w:hAnsi="Georgia"/>
                <w:color w:val="FF0000"/>
                <w:sz w:val="28"/>
                <w:szCs w:val="28"/>
              </w:rPr>
              <w:t>Follow-up:</w:t>
            </w:r>
            <w:r w:rsidR="00A808D3" w:rsidRPr="004558E1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 xml:space="preserve">  </w:t>
            </w:r>
            <w:r w:rsidR="00A808D3" w:rsidRPr="004558E1">
              <w:rPr>
                <w:rFonts w:ascii="Georgia" w:hAnsi="Georgia"/>
                <w:sz w:val="28"/>
                <w:szCs w:val="28"/>
              </w:rPr>
              <w:t>Bring a student sample from Informative/Explanatory writing and the supporting mini-lesson.</w:t>
            </w:r>
            <w:r w:rsidR="00A808D3" w:rsidRPr="004558E1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 xml:space="preserve">  </w:t>
            </w:r>
          </w:p>
        </w:tc>
      </w:tr>
      <w:tr w:rsidR="00A8690D" w:rsidRPr="009B4E77" w:rsidTr="00303172">
        <w:tc>
          <w:tcPr>
            <w:tcW w:w="11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690D" w:rsidRPr="004558E1" w:rsidRDefault="00A8690D" w:rsidP="00303172">
            <w:pPr>
              <w:rPr>
                <w:rFonts w:ascii="Georgia" w:hAnsi="Georgia"/>
                <w:sz w:val="28"/>
                <w:szCs w:val="28"/>
              </w:rPr>
            </w:pPr>
            <w:r w:rsidRPr="004558E1">
              <w:rPr>
                <w:rFonts w:ascii="Georgia" w:hAnsi="Georgia"/>
                <w:b/>
                <w:color w:val="31849B" w:themeColor="accent5" w:themeShade="BF"/>
                <w:sz w:val="28"/>
                <w:szCs w:val="28"/>
              </w:rPr>
              <w:t>Kindergarten and First Grade:</w:t>
            </w:r>
            <w:r w:rsidR="00A808D3" w:rsidRPr="004558E1">
              <w:rPr>
                <w:rFonts w:ascii="Georgia" w:hAnsi="Georgia"/>
                <w:sz w:val="28"/>
                <w:szCs w:val="28"/>
              </w:rPr>
              <w:t xml:space="preserve">  Taking advantage of the </w:t>
            </w:r>
            <w:r w:rsidR="005C7436">
              <w:rPr>
                <w:rFonts w:ascii="Georgia" w:hAnsi="Georgia"/>
                <w:sz w:val="28"/>
                <w:szCs w:val="28"/>
              </w:rPr>
              <w:t>vertical opportunity</w:t>
            </w:r>
            <w:r w:rsidR="00A808D3" w:rsidRPr="004558E1">
              <w:rPr>
                <w:rFonts w:ascii="Georgia" w:hAnsi="Georgia"/>
                <w:sz w:val="28"/>
                <w:szCs w:val="28"/>
              </w:rPr>
              <w:t xml:space="preserve">, this team worked to create a common assignment based on a common </w:t>
            </w:r>
            <w:r w:rsidR="004558E1" w:rsidRPr="004558E1">
              <w:rPr>
                <w:rFonts w:ascii="Georgia" w:hAnsi="Georgia"/>
                <w:sz w:val="28"/>
                <w:szCs w:val="28"/>
              </w:rPr>
              <w:t>“</w:t>
            </w:r>
            <w:r w:rsidR="00A808D3" w:rsidRPr="004558E1">
              <w:rPr>
                <w:rFonts w:ascii="Georgia" w:hAnsi="Georgia"/>
                <w:sz w:val="28"/>
                <w:szCs w:val="28"/>
              </w:rPr>
              <w:t>big idea</w:t>
            </w:r>
            <w:r w:rsidR="004558E1" w:rsidRPr="004558E1">
              <w:rPr>
                <w:rFonts w:ascii="Georgia" w:hAnsi="Georgia"/>
                <w:sz w:val="28"/>
                <w:szCs w:val="28"/>
              </w:rPr>
              <w:t>”</w:t>
            </w:r>
            <w:r w:rsidR="00A808D3" w:rsidRPr="004558E1">
              <w:rPr>
                <w:rFonts w:ascii="Georgia" w:hAnsi="Georgia"/>
                <w:sz w:val="28"/>
                <w:szCs w:val="28"/>
              </w:rPr>
              <w:t xml:space="preserve"> from both grade levels. </w:t>
            </w:r>
            <w:r w:rsidR="004558E1" w:rsidRPr="004558E1">
              <w:rPr>
                <w:rFonts w:ascii="Georgia" w:hAnsi="Georgia"/>
                <w:sz w:val="28"/>
                <w:szCs w:val="28"/>
              </w:rPr>
              <w:t xml:space="preserve"> The math Common Core was used to identify important foundational concepts. They left with a sketch for an activity around comparing numbers.  </w:t>
            </w:r>
            <w:r w:rsidR="004558E1" w:rsidRPr="004558E1">
              <w:rPr>
                <w:rFonts w:ascii="Georgia" w:hAnsi="Georgia"/>
                <w:color w:val="FF0000"/>
                <w:sz w:val="28"/>
                <w:szCs w:val="28"/>
              </w:rPr>
              <w:t xml:space="preserve">Follow-up:  </w:t>
            </w:r>
            <w:r w:rsidR="004558E1" w:rsidRPr="004558E1">
              <w:rPr>
                <w:rFonts w:ascii="Georgia" w:hAnsi="Georgia"/>
                <w:sz w:val="28"/>
                <w:szCs w:val="28"/>
              </w:rPr>
              <w:t xml:space="preserve">Bring evidence of the common vertical lesson with reflections on how it worked and how vertical lessons can be used in the future.  </w:t>
            </w:r>
            <w:r w:rsidR="00A808D3" w:rsidRPr="004558E1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</w:tr>
    </w:tbl>
    <w:p w:rsidR="00C07BB0" w:rsidRDefault="00C07BB0" w:rsidP="00C07BB0">
      <w:pPr>
        <w:rPr>
          <w:rFonts w:ascii="LD Simple" w:hAnsi="LD Simple"/>
          <w:b/>
          <w:sz w:val="32"/>
          <w:szCs w:val="32"/>
        </w:rPr>
      </w:pPr>
    </w:p>
    <w:p w:rsidR="00C07BB0" w:rsidRPr="00F64B40" w:rsidRDefault="00C07BB0" w:rsidP="00C07BB0">
      <w:pPr>
        <w:jc w:val="center"/>
        <w:rPr>
          <w:rFonts w:ascii="LD Simple" w:hAnsi="LD Simple"/>
          <w:b/>
          <w:sz w:val="28"/>
          <w:szCs w:val="28"/>
        </w:rPr>
      </w:pPr>
      <w:r w:rsidRPr="00F64B40">
        <w:rPr>
          <w:rFonts w:ascii="LD Simple" w:hAnsi="LD Simple"/>
          <w:b/>
          <w:sz w:val="28"/>
          <w:szCs w:val="28"/>
        </w:rPr>
        <w:t>Looking Ahead</w:t>
      </w:r>
      <w:r w:rsidRPr="00F64B40">
        <w:rPr>
          <w:b/>
          <w:sz w:val="28"/>
          <w:szCs w:val="28"/>
        </w:rPr>
        <w:t>…</w:t>
      </w:r>
    </w:p>
    <w:p w:rsidR="00B05A9D" w:rsidRDefault="004558E1" w:rsidP="00466254">
      <w:pPr>
        <w:pStyle w:val="ListParagraph"/>
        <w:numPr>
          <w:ilvl w:val="0"/>
          <w:numId w:val="1"/>
        </w:numPr>
      </w:pPr>
      <w:r w:rsidRPr="00466254">
        <w:rPr>
          <w:rFonts w:ascii="Palatino Linotype" w:hAnsi="Palatino Linotype"/>
          <w:sz w:val="28"/>
          <w:szCs w:val="28"/>
        </w:rPr>
        <w:t>Next</w:t>
      </w:r>
      <w:r w:rsidR="006821EE" w:rsidRPr="00466254">
        <w:rPr>
          <w:rFonts w:ascii="Palatino Linotype" w:hAnsi="Palatino Linotype"/>
          <w:sz w:val="28"/>
          <w:szCs w:val="28"/>
        </w:rPr>
        <w:t xml:space="preserve"> </w:t>
      </w:r>
      <w:r w:rsidR="00C07BB0" w:rsidRPr="00466254">
        <w:rPr>
          <w:rFonts w:ascii="Palatino Linotype" w:hAnsi="Palatino Linotype"/>
          <w:sz w:val="28"/>
          <w:szCs w:val="28"/>
        </w:rPr>
        <w:t xml:space="preserve">CFIP – </w:t>
      </w:r>
      <w:r w:rsidRPr="00466254">
        <w:rPr>
          <w:rFonts w:ascii="Palatino Linotype" w:hAnsi="Palatino Linotype"/>
          <w:sz w:val="28"/>
          <w:szCs w:val="28"/>
        </w:rPr>
        <w:t>Oct 10</w:t>
      </w:r>
      <w:r w:rsidR="00C07BB0" w:rsidRPr="00466254">
        <w:rPr>
          <w:rFonts w:ascii="Palatino Linotype" w:hAnsi="Palatino Linotype"/>
          <w:sz w:val="28"/>
          <w:szCs w:val="28"/>
          <w:vertAlign w:val="superscript"/>
        </w:rPr>
        <w:t xml:space="preserve"> </w:t>
      </w:r>
    </w:p>
    <w:sectPr w:rsidR="00B05A9D" w:rsidSect="00A30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D Simp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6F91"/>
    <w:multiLevelType w:val="hybridMultilevel"/>
    <w:tmpl w:val="BAB426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AC53773"/>
    <w:multiLevelType w:val="hybridMultilevel"/>
    <w:tmpl w:val="8E640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BB0"/>
    <w:rsid w:val="00092F2D"/>
    <w:rsid w:val="00116CF6"/>
    <w:rsid w:val="00257ABD"/>
    <w:rsid w:val="003C4574"/>
    <w:rsid w:val="003E3F41"/>
    <w:rsid w:val="004149BB"/>
    <w:rsid w:val="00454A83"/>
    <w:rsid w:val="004558E1"/>
    <w:rsid w:val="00466254"/>
    <w:rsid w:val="004A2A59"/>
    <w:rsid w:val="00504243"/>
    <w:rsid w:val="0054587D"/>
    <w:rsid w:val="005C7436"/>
    <w:rsid w:val="00607CB0"/>
    <w:rsid w:val="00622D35"/>
    <w:rsid w:val="006821EE"/>
    <w:rsid w:val="00695A4E"/>
    <w:rsid w:val="006A68CF"/>
    <w:rsid w:val="006E1508"/>
    <w:rsid w:val="00716E83"/>
    <w:rsid w:val="00760A93"/>
    <w:rsid w:val="00803A83"/>
    <w:rsid w:val="00A26C84"/>
    <w:rsid w:val="00A808D3"/>
    <w:rsid w:val="00A8690D"/>
    <w:rsid w:val="00BD3858"/>
    <w:rsid w:val="00C07BB0"/>
    <w:rsid w:val="00CC4DEE"/>
    <w:rsid w:val="00D05FC4"/>
    <w:rsid w:val="00D336A9"/>
    <w:rsid w:val="00D53CE7"/>
    <w:rsid w:val="00D67A70"/>
    <w:rsid w:val="00E1134D"/>
    <w:rsid w:val="00E173FE"/>
    <w:rsid w:val="00ED1409"/>
    <w:rsid w:val="00F15147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6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03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zweb.harvard.edu/vt/VisibleThinking_html_files/VisibleThinking1.html" TargetMode="External"/><Relationship Id="rId5" Type="http://schemas.openxmlformats.org/officeDocument/2006/relationships/hyperlink" Target="http://www.pz.harvard.edu/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chanejac</dc:creator>
  <cp:keywords/>
  <dc:description/>
  <cp:lastModifiedBy>WCPS</cp:lastModifiedBy>
  <cp:revision>6</cp:revision>
  <cp:lastPrinted>2011-09-27T13:45:00Z</cp:lastPrinted>
  <dcterms:created xsi:type="dcterms:W3CDTF">2011-09-27T01:35:00Z</dcterms:created>
  <dcterms:modified xsi:type="dcterms:W3CDTF">2011-09-27T14:55:00Z</dcterms:modified>
</cp:coreProperties>
</file>